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18" w:rsidRDefault="00EB5E2F" w:rsidP="003B0B18">
      <w:pPr>
        <w:spacing w:line="360" w:lineRule="auto"/>
        <w:jc w:val="right"/>
      </w:pPr>
      <w:r>
        <w:t>Augustów, dn. 08 listopada 2016</w:t>
      </w:r>
      <w:r w:rsidR="003B0B18">
        <w:t xml:space="preserve"> r.</w:t>
      </w:r>
    </w:p>
    <w:p w:rsidR="003B0B18" w:rsidRDefault="003B0B18" w:rsidP="003B0B18">
      <w:pPr>
        <w:spacing w:line="360" w:lineRule="auto"/>
      </w:pPr>
    </w:p>
    <w:p w:rsidR="00EB5E2F" w:rsidRPr="00EB5E2F" w:rsidRDefault="00EB5E2F" w:rsidP="003B0B18">
      <w:pPr>
        <w:spacing w:line="360" w:lineRule="auto"/>
        <w:rPr>
          <w:rFonts w:ascii="Tahoma" w:hAnsi="Tahoma" w:cs="Tahoma"/>
          <w:sz w:val="20"/>
          <w:szCs w:val="20"/>
        </w:rPr>
      </w:pPr>
    </w:p>
    <w:p w:rsidR="003B0B18" w:rsidRDefault="003B0B18" w:rsidP="003B0B18">
      <w:pPr>
        <w:spacing w:line="360" w:lineRule="auto"/>
        <w:jc w:val="both"/>
        <w:rPr>
          <w:u w:val="single"/>
        </w:rPr>
      </w:pPr>
      <w:r>
        <w:rPr>
          <w:u w:val="single"/>
        </w:rPr>
        <w:t>Dotyczy: przetargu nieograniczonego na dostawę na potrzeby SPZOZ w Augustowie im</w:t>
      </w:r>
      <w:r w:rsidR="00EB5E2F">
        <w:rPr>
          <w:u w:val="single"/>
        </w:rPr>
        <w:t>plantów ortopedycznych znak : 13/ZP/2016</w:t>
      </w:r>
    </w:p>
    <w:p w:rsidR="003B0B18" w:rsidRDefault="003B0B18" w:rsidP="003B0B18">
      <w:pPr>
        <w:spacing w:line="360" w:lineRule="auto"/>
        <w:jc w:val="both"/>
        <w:rPr>
          <w:u w:val="single"/>
        </w:rPr>
      </w:pPr>
    </w:p>
    <w:p w:rsidR="003B0B18" w:rsidRDefault="003B0B18" w:rsidP="003B0B18">
      <w:pPr>
        <w:spacing w:line="360" w:lineRule="auto"/>
        <w:ind w:firstLine="708"/>
        <w:jc w:val="both"/>
      </w:pPr>
      <w:r>
        <w:t>Samodzielny Publiczny Zakład Opieki Zdrowotnej w Augustowie odpowiadając na pytania oferentów wyjaśnia co następuje :</w:t>
      </w:r>
    </w:p>
    <w:p w:rsidR="00EB5E2F" w:rsidRPr="00EB5E2F" w:rsidRDefault="00EB5E2F" w:rsidP="00EB5E2F">
      <w:pPr>
        <w:spacing w:line="360" w:lineRule="auto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>1.Czy Zamawiający w Pakiecie 2 dopuści produkt o następującej specyfikacji:</w:t>
      </w:r>
    </w:p>
    <w:tbl>
      <w:tblPr>
        <w:tblW w:w="9067" w:type="dxa"/>
        <w:tblCellMar>
          <w:left w:w="70" w:type="dxa"/>
          <w:right w:w="70" w:type="dxa"/>
        </w:tblCellMar>
        <w:tblLook w:val="04A0"/>
      </w:tblPr>
      <w:tblGrid>
        <w:gridCol w:w="9067"/>
      </w:tblGrid>
      <w:tr w:rsidR="00EB5E2F" w:rsidRPr="00EB5E2F" w:rsidTr="00883DC2">
        <w:trPr>
          <w:trHeight w:val="153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Gwóźdź anatomiczny typu Gamma . Średnica gwoździa w części proxymalnej mierzona od strony boczno-przyśrodkowej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15.8mm, natomiast od strony tylno-przedniej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17mm. W celu łatwiejszej implantacji, gwóźdź w części dystalnej występujący w  4 średnicach: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9mm,10mm,11mm oraz 12mm.  Boczno-przyśrodkowe zagięcie gwoździa wynosi 6° co umożliwia wprowadzenie od szczytu krętarza większego. Długości krótkich gwoździ: 170mm,200mm oraz 240mm. Gwoździe długie: lewe i prawe w długościach od 300mm do 420mm z przeskokiem co 40mm.Materiał: stop tytanu.</w:t>
            </w:r>
          </w:p>
        </w:tc>
      </w:tr>
      <w:tr w:rsidR="00EB5E2F" w:rsidRPr="00EB5E2F" w:rsidTr="00883DC2">
        <w:trPr>
          <w:trHeight w:val="485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Śruba główna nie wymagająca blokowania śrubą kompresyjną, trzon śruby w kształcie wrzecionowatym zapobiegający przed jej rotacją. Śruba posiada ostrze spiralne. Średnica śruby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10.5mm , długości L=  75mm-120mm z przeskokiem co 5mm. Materiał: stop tytanu.</w:t>
            </w:r>
          </w:p>
        </w:tc>
      </w:tr>
      <w:tr w:rsidR="00EB5E2F" w:rsidRPr="00EB5E2F" w:rsidTr="00883DC2">
        <w:trPr>
          <w:trHeight w:val="28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Śruba do blokowania dystalnego o średnicy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4.9mm i długościach L= 26mm-80mm z przeskokiem co 2mm, oraz o długości L=85mm.Materiał: stop tytanu.</w:t>
            </w:r>
          </w:p>
        </w:tc>
      </w:tr>
      <w:tr w:rsidR="00EB5E2F" w:rsidRPr="00EB5E2F" w:rsidTr="00883DC2">
        <w:trPr>
          <w:trHeight w:val="7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Zaślepka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12mm.Materiał: stop tytanu.</w:t>
            </w:r>
          </w:p>
        </w:tc>
      </w:tr>
    </w:tbl>
    <w:p w:rsidR="00EB5E2F" w:rsidRDefault="00EB5E2F" w:rsidP="00EB5E2F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</w:p>
    <w:p w:rsidR="00EB5E2F" w:rsidRDefault="00EB5E2F" w:rsidP="00EB5E2F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 taki produkt.</w:t>
      </w:r>
    </w:p>
    <w:p w:rsidR="00EB5E2F" w:rsidRPr="00EB5E2F" w:rsidRDefault="00EB5E2F" w:rsidP="00EB5E2F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</w:p>
    <w:p w:rsidR="00EB5E2F" w:rsidRPr="00EB5E2F" w:rsidRDefault="00EB5E2F" w:rsidP="00EB5E2F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>2. Czy Zamawiający w Pakiecie 4 dopuści produkt o następującej specyfikacji:</w:t>
      </w:r>
    </w:p>
    <w:tbl>
      <w:tblPr>
        <w:tblW w:w="9067" w:type="dxa"/>
        <w:tblCellMar>
          <w:left w:w="70" w:type="dxa"/>
          <w:right w:w="70" w:type="dxa"/>
        </w:tblCellMar>
        <w:tblLook w:val="04A0"/>
      </w:tblPr>
      <w:tblGrid>
        <w:gridCol w:w="9067"/>
      </w:tblGrid>
      <w:tr w:rsidR="00EB5E2F" w:rsidRPr="00EB5E2F" w:rsidTr="00883DC2">
        <w:trPr>
          <w:trHeight w:val="76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Płyta do bliższej nasady kości piszczelowej, prawa/lewa. Płyta boczna o grubości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4.0mm, ilość otworów w trzonie 5-17, długość L= 80mm-229mm. Fiksacja śruby blokowanej za pomocą klucza dynamometrycznego 1,5Nm. Materiał stop tytanu.</w:t>
            </w:r>
          </w:p>
        </w:tc>
      </w:tr>
      <w:tr w:rsidR="00EB5E2F" w:rsidRPr="00EB5E2F" w:rsidTr="00883DC2">
        <w:trPr>
          <w:trHeight w:val="776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Śruba blokowana  samogwintująca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3.5mm, średnica głowy śruby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4.8mm. Długośćśruby L= 10mm-60mm z przeskokiem co 2mm, L=60mm-75mm z przeskokiem co 5mm. Gniazdo sześciokątne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2.5mm. Materiał stop tytanu.</w:t>
            </w:r>
          </w:p>
        </w:tc>
      </w:tr>
      <w:tr w:rsidR="00EB5E2F" w:rsidRPr="00EB5E2F" w:rsidTr="00883DC2">
        <w:trPr>
          <w:trHeight w:val="834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lastRenderedPageBreak/>
              <w:t xml:space="preserve">Śruba korowa samogwintująca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3.5mm, średnica głowy śruby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6.0mm. Długość śruby L= 8mm-40mm z przeskokiem co 2mm, L=40mm-75mm z przeskokiem co 5mm. Gniazdo sześciokątne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2.5mm. Materiał stop tytanu.</w:t>
            </w:r>
          </w:p>
        </w:tc>
      </w:tr>
    </w:tbl>
    <w:p w:rsidR="00EB5E2F" w:rsidRPr="00EB5E2F" w:rsidRDefault="00EB5E2F" w:rsidP="00EB5E2F">
      <w:pPr>
        <w:spacing w:before="120" w:line="360" w:lineRule="auto"/>
        <w:rPr>
          <w:rFonts w:ascii="Tahoma" w:hAnsi="Tahoma" w:cs="Tahoma"/>
          <w:sz w:val="20"/>
          <w:szCs w:val="20"/>
        </w:rPr>
      </w:pPr>
    </w:p>
    <w:p w:rsidR="00EB5E2F" w:rsidRDefault="00EB5E2F" w:rsidP="00EB5E2F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 taki produkt.</w:t>
      </w:r>
    </w:p>
    <w:p w:rsidR="00EB5E2F" w:rsidRPr="00EB5E2F" w:rsidRDefault="00EB5E2F" w:rsidP="00EB5E2F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</w:p>
    <w:p w:rsidR="00EB5E2F" w:rsidRPr="00EB5E2F" w:rsidRDefault="00EB5E2F" w:rsidP="00EB5E2F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>3. Czy Zamawiający w Pakiecie 11 dopuści produkt o następującej specyfikacji:</w:t>
      </w:r>
    </w:p>
    <w:tbl>
      <w:tblPr>
        <w:tblW w:w="9067" w:type="dxa"/>
        <w:tblCellMar>
          <w:left w:w="70" w:type="dxa"/>
          <w:right w:w="70" w:type="dxa"/>
        </w:tblCellMar>
        <w:tblLook w:val="04A0"/>
      </w:tblPr>
      <w:tblGrid>
        <w:gridCol w:w="9067"/>
      </w:tblGrid>
      <w:tr w:rsidR="00EB5E2F" w:rsidRPr="00EB5E2F" w:rsidTr="00883DC2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Gwóźdź kaniulowany do kości piszczelowej,  o średnicach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8,9,10mm oraz długościach L=  255mm-345mm z przeskokiem co 5mm oraz o średnicach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11,12mm oraz długościach L= 255mm-420mm z przeskokiem co 15mm. Materiał: stop tytanu. Blokowanie gwoździa w części proksymalnej oraz dystalnej za pomocą ramienia celowniczego dołączonego do zestawu.</w:t>
            </w:r>
          </w:p>
        </w:tc>
      </w:tr>
      <w:tr w:rsidR="00EB5E2F" w:rsidRPr="00EB5E2F" w:rsidTr="00883DC2">
        <w:trPr>
          <w:trHeight w:val="7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Śruba blokująca o średnicy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4.5mm oraz długościach L= 25mm-65mm z przeskokiem co 5mm. Materiał Stop Tytanu</w:t>
            </w:r>
          </w:p>
        </w:tc>
      </w:tr>
      <w:tr w:rsidR="00EB5E2F" w:rsidRPr="00EB5E2F" w:rsidTr="00883DC2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2F" w:rsidRPr="00EB5E2F" w:rsidRDefault="00EB5E2F" w:rsidP="00EB5E2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Zaślepka </w:t>
            </w:r>
            <w:r w:rsidRPr="00EB5E2F">
              <w:rPr>
                <w:rFonts w:ascii="Cambria Math" w:eastAsia="Times New Roman" w:hAnsi="Cambria Math" w:cs="Tahoma"/>
                <w:color w:val="000000"/>
                <w:sz w:val="20"/>
                <w:szCs w:val="20"/>
                <w:lang w:eastAsia="pl-PL"/>
              </w:rPr>
              <w:t>⌀</w:t>
            </w:r>
            <w:r w:rsidRPr="00EB5E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8mm. Materiał Stop tytanu</w:t>
            </w:r>
          </w:p>
        </w:tc>
      </w:tr>
    </w:tbl>
    <w:p w:rsidR="00EB5E2F" w:rsidRDefault="00EB5E2F" w:rsidP="00EB5E2F"/>
    <w:p w:rsidR="00EB5E2F" w:rsidRDefault="00EB5E2F" w:rsidP="00EB5E2F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 taki produkt.</w:t>
      </w:r>
    </w:p>
    <w:p w:rsidR="00EB5E2F" w:rsidRDefault="00EB5E2F" w:rsidP="00EB5E2F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EB5E2F" w:rsidRPr="00EB5E2F" w:rsidRDefault="00EB5E2F" w:rsidP="00EB5E2F">
      <w:pPr>
        <w:tabs>
          <w:tab w:val="left" w:pos="4253"/>
          <w:tab w:val="left" w:pos="5917"/>
        </w:tabs>
        <w:spacing w:line="36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Zapytania do w/w postępowania, dot. zapisów SIWZ:</w:t>
      </w:r>
    </w:p>
    <w:p w:rsidR="00EB5E2F" w:rsidRPr="00EB5E2F" w:rsidRDefault="00EB5E2F" w:rsidP="00EB5E2F">
      <w:pPr>
        <w:pStyle w:val="Akapitzlist"/>
        <w:tabs>
          <w:tab w:val="left" w:pos="1950"/>
        </w:tabs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B5E2F" w:rsidRPr="00D42C1A" w:rsidRDefault="00EB5E2F" w:rsidP="00D42C1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2C1A">
        <w:rPr>
          <w:rFonts w:ascii="Tahoma" w:hAnsi="Tahoma" w:cs="Tahoma"/>
          <w:sz w:val="20"/>
          <w:szCs w:val="20"/>
        </w:rPr>
        <w:t>Czy Zamawiający w zapisie w Sekcji IV.9) pkt. 1 SIWZ mógłby doprecyzować, iż pod pojęciem składki ubezpieczeniowej rozumie składkę ubezpieczenia OC Wykonawcy.</w:t>
      </w:r>
    </w:p>
    <w:p w:rsidR="003C03E8" w:rsidRDefault="003C03E8" w:rsidP="003C03E8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3C03E8" w:rsidRDefault="003C03E8" w:rsidP="003C03E8">
      <w:pPr>
        <w:pStyle w:val="Akapitzlist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Zapis o składce ubezpieczeniowej został mylnie zamieszczony – prosimy nie brać go pod uwagę.</w:t>
      </w:r>
    </w:p>
    <w:p w:rsidR="003C03E8" w:rsidRPr="003C03E8" w:rsidRDefault="003C03E8" w:rsidP="003C03E8">
      <w:pPr>
        <w:pStyle w:val="Akapitzlist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EB5E2F" w:rsidRPr="00D42C1A" w:rsidRDefault="00EB5E2F" w:rsidP="00D42C1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bCs/>
          <w:iCs/>
          <w:sz w:val="20"/>
          <w:szCs w:val="20"/>
        </w:rPr>
      </w:pPr>
      <w:r w:rsidRPr="00D42C1A">
        <w:rPr>
          <w:rFonts w:ascii="Tahoma" w:hAnsi="Tahoma" w:cs="Tahoma"/>
          <w:b/>
          <w:sz w:val="20"/>
          <w:szCs w:val="20"/>
        </w:rPr>
        <w:t>Sekcja II.4) SIWZ pkt. 9-</w:t>
      </w:r>
      <w:r w:rsidRPr="00D42C1A">
        <w:rPr>
          <w:rFonts w:ascii="Tahoma" w:hAnsi="Tahoma" w:cs="Tahoma"/>
          <w:bCs/>
          <w:iCs/>
          <w:sz w:val="20"/>
          <w:szCs w:val="20"/>
        </w:rPr>
        <w:t>Czy Zamawiający zmieni wielkość depozytu (banku) implantów na rozmiary najczęściej stosowane w ilości uzgodnionej pomiędzy stronami umowy?</w:t>
      </w:r>
    </w:p>
    <w:p w:rsidR="003C03E8" w:rsidRPr="00EB5E2F" w:rsidRDefault="003C03E8" w:rsidP="003C03E8">
      <w:pPr>
        <w:pStyle w:val="Akapitzlist"/>
        <w:spacing w:after="0" w:line="360" w:lineRule="auto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wyraża zgody.</w:t>
      </w:r>
    </w:p>
    <w:p w:rsidR="00EB5E2F" w:rsidRPr="00EB5E2F" w:rsidRDefault="00EB5E2F" w:rsidP="00EB5E2F">
      <w:pPr>
        <w:tabs>
          <w:tab w:val="left" w:pos="4253"/>
          <w:tab w:val="left" w:pos="5917"/>
        </w:tabs>
        <w:spacing w:line="36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EB5E2F" w:rsidRPr="00EB5E2F" w:rsidRDefault="00EB5E2F" w:rsidP="00EB5E2F">
      <w:pPr>
        <w:tabs>
          <w:tab w:val="left" w:pos="4253"/>
          <w:tab w:val="left" w:pos="5917"/>
        </w:tabs>
        <w:spacing w:line="36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Pakiet nr 1</w:t>
      </w:r>
    </w:p>
    <w:p w:rsidR="00EB5E2F" w:rsidRDefault="00EB5E2F" w:rsidP="00D42C1A">
      <w:pPr>
        <w:pStyle w:val="Akapitzlist"/>
        <w:numPr>
          <w:ilvl w:val="0"/>
          <w:numId w:val="18"/>
        </w:numPr>
        <w:tabs>
          <w:tab w:val="left" w:pos="5917"/>
        </w:tabs>
        <w:spacing w:line="360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 xml:space="preserve">W związku z zapisem w SIWZ Sekcja IV.8)-Kryterium: termin sterylności oraz w formularzu ofertowym dotyczącym terminu sterylności czy Zamawiający wyrazi zgodę na odstąpienie od sterylności oferowanego asortymentu i wyrazi zgodę na zaoferowanie implantów z pakietu nr </w:t>
      </w:r>
      <w:r w:rsidRPr="00EB5E2F">
        <w:rPr>
          <w:rFonts w:ascii="Tahoma" w:hAnsi="Tahoma" w:cs="Tahoma"/>
          <w:sz w:val="20"/>
          <w:szCs w:val="20"/>
        </w:rPr>
        <w:lastRenderedPageBreak/>
        <w:t>1, poz. nr 1-16 tj. wkręty, podkładki, gwoździe Kirchnera, druty, płytki  jako asortyment niesterylny?</w:t>
      </w:r>
    </w:p>
    <w:p w:rsidR="0003167C" w:rsidRDefault="0003167C" w:rsidP="0003167C">
      <w:pPr>
        <w:pStyle w:val="Akapitzlist"/>
        <w:tabs>
          <w:tab w:val="left" w:pos="5917"/>
        </w:tabs>
        <w:spacing w:line="360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:rsidR="0003167C" w:rsidRDefault="0003167C" w:rsidP="0003167C">
      <w:pPr>
        <w:pStyle w:val="Akapitzlist"/>
        <w:tabs>
          <w:tab w:val="left" w:pos="5917"/>
        </w:tabs>
        <w:spacing w:line="36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03167C" w:rsidRPr="0003167C" w:rsidRDefault="0003167C" w:rsidP="0003167C">
      <w:pPr>
        <w:pStyle w:val="Akapitzlist"/>
        <w:tabs>
          <w:tab w:val="left" w:pos="5917"/>
        </w:tabs>
        <w:spacing w:line="36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EB5E2F" w:rsidRPr="00883DC2" w:rsidRDefault="00EB5E2F" w:rsidP="00D42C1A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 xml:space="preserve">Sekcja II.4) SIWZ pkt. 5, 9- </w:t>
      </w:r>
      <w:r w:rsidRPr="00EB5E2F">
        <w:rPr>
          <w:rFonts w:ascii="Tahoma" w:hAnsi="Tahoma" w:cs="Tahoma"/>
          <w:sz w:val="20"/>
          <w:szCs w:val="20"/>
        </w:rPr>
        <w:t xml:space="preserve">Czy Zamawiający </w:t>
      </w:r>
      <w:r w:rsidRPr="00EB5E2F">
        <w:rPr>
          <w:rFonts w:ascii="Tahoma" w:hAnsi="Tahoma" w:cs="Tahoma"/>
          <w:color w:val="000000"/>
          <w:sz w:val="20"/>
          <w:szCs w:val="20"/>
        </w:rPr>
        <w:t xml:space="preserve">odstąpi od depozytu (banku) implantów drobnych i </w:t>
      </w:r>
      <w:r w:rsidRPr="00EB5E2F">
        <w:rPr>
          <w:rFonts w:ascii="Tahoma" w:hAnsi="Tahoma" w:cs="Tahoma"/>
          <w:sz w:val="20"/>
          <w:szCs w:val="20"/>
        </w:rPr>
        <w:t xml:space="preserve">zgodzi się na zapis o dostawach sukcesywnych na zamówienie w przypadku implantów drobnych, tj. wkrętów, drutów, gwoździ Kirchnera, płytek zwykłych, podkładek ujętych w pakiecie nr 1 poz. 1-9, 12-16? Implanty z wymienionych pozycji wchodzą w skład tzw. „implantów drobnych” których to nie umieszcza się w depozycie, w związku z tym prosimy o odstąpienie od depozytu w/w asortymentu na rzecz dostaw sukcesywnych. </w:t>
      </w:r>
    </w:p>
    <w:p w:rsidR="00883DC2" w:rsidRDefault="00883DC2" w:rsidP="00883DC2">
      <w:pPr>
        <w:pStyle w:val="Akapitzlis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883DC2" w:rsidRDefault="00883DC2" w:rsidP="00883DC2">
      <w:pPr>
        <w:pStyle w:val="Akapitzlis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883DC2" w:rsidRPr="00EB5E2F" w:rsidRDefault="00883DC2" w:rsidP="00883DC2">
      <w:pPr>
        <w:pStyle w:val="Akapitzlis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EB5E2F" w:rsidRDefault="00EB5E2F" w:rsidP="00D42C1A">
      <w:pPr>
        <w:numPr>
          <w:ilvl w:val="0"/>
          <w:numId w:val="18"/>
        </w:numPr>
        <w:tabs>
          <w:tab w:val="left" w:pos="5917"/>
        </w:tabs>
        <w:spacing w:after="0" w:line="360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 xml:space="preserve">Sekcja II.4) SIWZ pkt. 5, 8, 9- </w:t>
      </w:r>
      <w:r w:rsidRPr="00EB5E2F">
        <w:rPr>
          <w:rFonts w:ascii="Tahoma" w:hAnsi="Tahoma" w:cs="Tahoma"/>
          <w:sz w:val="20"/>
          <w:szCs w:val="20"/>
        </w:rPr>
        <w:t>Z uwagi na niewielkie ilości asortymentu do zakupu w okresie 12 miesięcznej umowy w zakresie pakietu nr 1 poz. nr 10 i 11(płytki blokowane) czy Zamawiający wyrazi zgodę na odstąpienie od depozytu (banku) implantów i użyczenia instrumentarium na czas trwania umowy na rzecz dostarczania instrumentarium wraz implantami na zabieg?</w:t>
      </w:r>
    </w:p>
    <w:p w:rsidR="00883DC2" w:rsidRDefault="00883DC2" w:rsidP="00883DC2">
      <w:pPr>
        <w:tabs>
          <w:tab w:val="left" w:pos="5917"/>
        </w:tabs>
        <w:spacing w:after="0" w:line="360" w:lineRule="auto"/>
        <w:ind w:left="72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883DC2" w:rsidRDefault="00883DC2" w:rsidP="00883DC2">
      <w:pPr>
        <w:tabs>
          <w:tab w:val="left" w:pos="5917"/>
        </w:tabs>
        <w:spacing w:after="0" w:line="360" w:lineRule="auto"/>
        <w:ind w:left="720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883DC2" w:rsidRPr="00EB5E2F" w:rsidRDefault="00883DC2" w:rsidP="00883DC2">
      <w:pPr>
        <w:tabs>
          <w:tab w:val="left" w:pos="5917"/>
        </w:tabs>
        <w:spacing w:after="0" w:line="360" w:lineRule="auto"/>
        <w:ind w:left="720"/>
        <w:jc w:val="both"/>
        <w:outlineLvl w:val="0"/>
        <w:rPr>
          <w:rFonts w:ascii="Tahoma" w:hAnsi="Tahoma" w:cs="Tahoma"/>
          <w:sz w:val="20"/>
          <w:szCs w:val="20"/>
        </w:rPr>
      </w:pPr>
    </w:p>
    <w:p w:rsidR="00EB5E2F" w:rsidRPr="00883DC2" w:rsidRDefault="00EB5E2F" w:rsidP="00D42C1A">
      <w:pPr>
        <w:pStyle w:val="Tekstpodstawowywcity2"/>
        <w:numPr>
          <w:ilvl w:val="0"/>
          <w:numId w:val="18"/>
        </w:numPr>
        <w:overflowPunct/>
        <w:autoSpaceDE/>
        <w:autoSpaceDN/>
        <w:adjustRightInd/>
        <w:spacing w:after="0" w:line="360" w:lineRule="auto"/>
        <w:textAlignment w:val="auto"/>
        <w:rPr>
          <w:rFonts w:ascii="Tahoma" w:hAnsi="Tahoma" w:cs="Tahoma"/>
          <w:b/>
          <w:bCs/>
          <w:iCs/>
        </w:rPr>
      </w:pPr>
      <w:r w:rsidRPr="00EB5E2F">
        <w:rPr>
          <w:rFonts w:ascii="Tahoma" w:hAnsi="Tahoma" w:cs="Tahoma"/>
          <w:b/>
        </w:rPr>
        <w:t xml:space="preserve">Sekcja II.4) SIWZ pkt. 7- </w:t>
      </w:r>
      <w:r w:rsidRPr="00EB5E2F">
        <w:rPr>
          <w:rFonts w:ascii="Tahoma" w:hAnsi="Tahoma" w:cs="Tahoma"/>
        </w:rPr>
        <w:t>Czy Zamawiający odstąpi od przeprowadzenia szkolenia w zakresie użytkowania przedmiotu umowy w zakresie pakietu nr 1 poz. nr 1-9; 12-16</w:t>
      </w:r>
      <w:r w:rsidRPr="00EB5E2F">
        <w:rPr>
          <w:rFonts w:ascii="Tahoma" w:hAnsi="Tahoma" w:cs="Tahoma"/>
          <w:b/>
        </w:rPr>
        <w:t xml:space="preserve">  </w:t>
      </w:r>
      <w:r w:rsidRPr="00EB5E2F">
        <w:rPr>
          <w:rFonts w:ascii="Tahoma" w:hAnsi="Tahoma" w:cs="Tahoma"/>
        </w:rPr>
        <w:t xml:space="preserve">z uwagi na to, iż asortyment w w/w pakiecie to produkty powszechnie znane i stosowane w służbie zdrowia, sposób ich użytkowania nie wymaga specjalistycznego instruktażu użytkowania - stąd prosimy o odejście od w/w wymogu. </w:t>
      </w:r>
    </w:p>
    <w:p w:rsidR="00883DC2" w:rsidRDefault="00883DC2" w:rsidP="00883DC2">
      <w:pPr>
        <w:pStyle w:val="Tekstpodstawowywcity2"/>
        <w:overflowPunct/>
        <w:autoSpaceDE/>
        <w:autoSpaceDN/>
        <w:adjustRightInd/>
        <w:spacing w:after="0" w:line="360" w:lineRule="auto"/>
        <w:ind w:left="720" w:firstLine="0"/>
        <w:textAlignment w:val="auto"/>
        <w:rPr>
          <w:rFonts w:ascii="Tahoma" w:hAnsi="Tahoma" w:cs="Tahoma"/>
          <w:b/>
        </w:rPr>
      </w:pPr>
    </w:p>
    <w:p w:rsidR="00883DC2" w:rsidRDefault="00883DC2" w:rsidP="00883DC2">
      <w:pPr>
        <w:pStyle w:val="Tekstpodstawowywcity2"/>
        <w:overflowPunct/>
        <w:autoSpaceDE/>
        <w:autoSpaceDN/>
        <w:adjustRightInd/>
        <w:spacing w:after="0" w:line="360" w:lineRule="auto"/>
        <w:ind w:left="720" w:firstLine="0"/>
        <w:textAlignment w:val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Zamawiający wyraża zgodę.</w:t>
      </w:r>
    </w:p>
    <w:p w:rsidR="00883DC2" w:rsidRPr="00EB5E2F" w:rsidRDefault="00883DC2" w:rsidP="00883DC2">
      <w:pPr>
        <w:pStyle w:val="Tekstpodstawowywcity2"/>
        <w:overflowPunct/>
        <w:autoSpaceDE/>
        <w:autoSpaceDN/>
        <w:adjustRightInd/>
        <w:spacing w:after="0" w:line="360" w:lineRule="auto"/>
        <w:ind w:left="720" w:firstLine="0"/>
        <w:textAlignment w:val="auto"/>
        <w:rPr>
          <w:rFonts w:ascii="Tahoma" w:hAnsi="Tahoma" w:cs="Tahoma"/>
          <w:b/>
          <w:bCs/>
          <w:iCs/>
        </w:rPr>
      </w:pPr>
    </w:p>
    <w:p w:rsidR="00EB5E2F" w:rsidRPr="00883DC2" w:rsidRDefault="00EB5E2F" w:rsidP="00D42C1A">
      <w:pPr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Sekcja II.4) SIWZ pkt. 8-</w:t>
      </w:r>
      <w:r w:rsidRPr="00EB5E2F">
        <w:rPr>
          <w:rFonts w:ascii="Tahoma" w:hAnsi="Tahoma" w:cs="Tahoma"/>
          <w:sz w:val="20"/>
          <w:szCs w:val="20"/>
        </w:rPr>
        <w:t>Czy Zamawiający</w:t>
      </w:r>
      <w:r w:rsidRPr="00EB5E2F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EB5E2F">
        <w:rPr>
          <w:rFonts w:ascii="Tahoma" w:hAnsi="Tahoma" w:cs="Tahoma"/>
          <w:sz w:val="20"/>
          <w:szCs w:val="20"/>
        </w:rPr>
        <w:t>odstąpi od użyczenia instrumentarium w odniesieniu do implantów drobnych t.j. wkrętów, gwoździ Kirschnera, podkładek, drutów, płytek ujętych w pakiecie nr 1 poz. nr 1-9; 12-16 z uwagi na to, iż wyroby te z uwagi na powszechność stosowania nie wymagają specjalistycznych instrumentariów do ich założenia.</w:t>
      </w:r>
    </w:p>
    <w:p w:rsidR="00883DC2" w:rsidRDefault="00883DC2" w:rsidP="00883DC2">
      <w:pPr>
        <w:spacing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883DC2" w:rsidRDefault="00883DC2" w:rsidP="00883DC2">
      <w:pPr>
        <w:spacing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883DC2" w:rsidRPr="00EB5E2F" w:rsidRDefault="00883DC2" w:rsidP="00883DC2">
      <w:pPr>
        <w:spacing w:after="0" w:line="360" w:lineRule="auto"/>
        <w:ind w:left="720"/>
        <w:jc w:val="both"/>
        <w:rPr>
          <w:rFonts w:ascii="Tahoma" w:hAnsi="Tahoma" w:cs="Tahoma"/>
          <w:b/>
          <w:bCs/>
          <w:iCs/>
          <w:sz w:val="20"/>
          <w:szCs w:val="20"/>
        </w:rPr>
      </w:pPr>
    </w:p>
    <w:p w:rsidR="00EB5E2F" w:rsidRPr="00883DC2" w:rsidRDefault="00EB5E2F" w:rsidP="00D42C1A">
      <w:pPr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Sekcja II.4) SIWZ pkt. 10, 12, 13-</w:t>
      </w:r>
      <w:r w:rsidRPr="00EB5E2F">
        <w:rPr>
          <w:rFonts w:ascii="Tahoma" w:hAnsi="Tahoma" w:cs="Tahoma"/>
          <w:sz w:val="20"/>
          <w:szCs w:val="20"/>
        </w:rPr>
        <w:t xml:space="preserve">Czy Zamawiający mógłby doprecyzować, iż wymóg użyczenia napędów do zabiegów, dostarczenia balansera w zestawie,  możliwość </w:t>
      </w:r>
      <w:r w:rsidRPr="00EB5E2F">
        <w:rPr>
          <w:rFonts w:ascii="Tahoma" w:hAnsi="Tahoma" w:cs="Tahoma"/>
          <w:sz w:val="20"/>
          <w:szCs w:val="20"/>
        </w:rPr>
        <w:lastRenderedPageBreak/>
        <w:t>rozbudowania pierwotnego instrumentarium o przedłużki i augmenty nie dotyczy asortymentu z pakietu nr 1, w którym to przedmiotem zamówienia są implanty drobne tj. wkręty, podkładki, druty i.t.p oraz płytki?</w:t>
      </w:r>
    </w:p>
    <w:p w:rsidR="00883DC2" w:rsidRDefault="00883DC2" w:rsidP="00883DC2">
      <w:pPr>
        <w:spacing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883DC2" w:rsidRDefault="00883DC2" w:rsidP="00883DC2">
      <w:pPr>
        <w:spacing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Wymóg użyczania napędów nie dotyczy asortymentu z pakietu nr 1.</w:t>
      </w:r>
    </w:p>
    <w:p w:rsidR="00883DC2" w:rsidRPr="00EB5E2F" w:rsidRDefault="00883DC2" w:rsidP="00883DC2">
      <w:pPr>
        <w:spacing w:after="0" w:line="360" w:lineRule="auto"/>
        <w:ind w:left="720"/>
        <w:jc w:val="both"/>
        <w:rPr>
          <w:rFonts w:ascii="Tahoma" w:hAnsi="Tahoma" w:cs="Tahoma"/>
          <w:bCs/>
          <w:iCs/>
          <w:sz w:val="20"/>
          <w:szCs w:val="20"/>
        </w:rPr>
      </w:pPr>
    </w:p>
    <w:p w:rsidR="00EB5E2F" w:rsidRPr="00EB5E2F" w:rsidRDefault="00EB5E2F" w:rsidP="00D42C1A">
      <w:pPr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Sekcja II.4) SIWZ pkt. 11-</w:t>
      </w:r>
      <w:r w:rsidRPr="00EB5E2F">
        <w:rPr>
          <w:rFonts w:ascii="Tahoma" w:hAnsi="Tahoma" w:cs="Tahoma"/>
          <w:sz w:val="20"/>
          <w:szCs w:val="20"/>
        </w:rPr>
        <w:t>Czy Zamawiający mógłby doprecyzować, iż wymóg dostępności przedstawiciela do zabiegu operacyjnego na żądanie operatora nie dotyczy asortymentu z pakietu nr 1, w którym to przedmiotem zamówienia są implanty drobne tj. wkręty, podkładki, druty i.t.p oraz płytki?</w:t>
      </w:r>
    </w:p>
    <w:p w:rsidR="00EB5E2F" w:rsidRDefault="00EB5E2F" w:rsidP="00883DC2">
      <w:pPr>
        <w:spacing w:line="36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:rsidR="00883DC2" w:rsidRPr="00883DC2" w:rsidRDefault="00883DC2" w:rsidP="00883DC2">
      <w:pPr>
        <w:spacing w:line="360" w:lineRule="auto"/>
        <w:ind w:left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Wymóg dostępności przedstawiciela do zabiegu operacyjnego nie dotyczy asortymentu z pakietu nr 1.</w:t>
      </w:r>
    </w:p>
    <w:p w:rsidR="00EB5E2F" w:rsidRPr="00EB5E2F" w:rsidRDefault="00EB5E2F" w:rsidP="00EB5E2F">
      <w:pPr>
        <w:tabs>
          <w:tab w:val="left" w:pos="4253"/>
          <w:tab w:val="left" w:pos="5917"/>
        </w:tabs>
        <w:spacing w:line="36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Zapytania do w/w postępowania, dot. umowy:</w:t>
      </w:r>
    </w:p>
    <w:p w:rsidR="00EB5E2F" w:rsidRPr="00EB5E2F" w:rsidRDefault="00EB5E2F" w:rsidP="00EB5E2F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B5E2F" w:rsidRPr="00EB5E2F" w:rsidRDefault="00EB5E2F" w:rsidP="00D42C1A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EB5E2F">
        <w:rPr>
          <w:rFonts w:ascii="Tahoma" w:eastAsia="Calibri" w:hAnsi="Tahoma" w:cs="Tahoma"/>
          <w:b/>
          <w:sz w:val="20"/>
          <w:szCs w:val="20"/>
        </w:rPr>
        <w:t>Czy Zamawiający doda w treści umowy postanowienie, iż faktura ma być wystawiona na podstawie przesłanego protokołu zużycia – dot. produktów oddanych w depozyt?</w:t>
      </w:r>
    </w:p>
    <w:p w:rsidR="00EB5E2F" w:rsidRDefault="00EB5E2F" w:rsidP="00EB5E2F">
      <w:pPr>
        <w:tabs>
          <w:tab w:val="num" w:pos="426"/>
        </w:tabs>
        <w:spacing w:after="200" w:line="360" w:lineRule="auto"/>
        <w:ind w:left="426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EB5E2F">
        <w:rPr>
          <w:rFonts w:ascii="Tahoma" w:eastAsia="Calibri" w:hAnsi="Tahoma" w:cs="Tahoma"/>
          <w:sz w:val="20"/>
          <w:szCs w:val="20"/>
        </w:rPr>
        <w:t>Obecne zapisy nie wskazują jednoznacznie w którym momencie ma być wystawiona faktura na dostarczony i zaimplantowany towar.</w:t>
      </w:r>
    </w:p>
    <w:p w:rsidR="00883DC2" w:rsidRDefault="00883DC2" w:rsidP="00EB5E2F">
      <w:pPr>
        <w:tabs>
          <w:tab w:val="num" w:pos="426"/>
        </w:tabs>
        <w:spacing w:after="200" w:line="360" w:lineRule="auto"/>
        <w:ind w:left="426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883DC2" w:rsidRDefault="00883DC2" w:rsidP="00EB5E2F">
      <w:pPr>
        <w:tabs>
          <w:tab w:val="num" w:pos="426"/>
        </w:tabs>
        <w:spacing w:after="200" w:line="360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Zamawiający wyraża zgodę.</w:t>
      </w:r>
    </w:p>
    <w:p w:rsidR="00883DC2" w:rsidRPr="00883DC2" w:rsidRDefault="00883DC2" w:rsidP="00EB5E2F">
      <w:pPr>
        <w:tabs>
          <w:tab w:val="num" w:pos="426"/>
        </w:tabs>
        <w:spacing w:after="200" w:line="360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</w:rPr>
      </w:pPr>
    </w:p>
    <w:p w:rsidR="00EB5E2F" w:rsidRPr="00EB5E2F" w:rsidRDefault="00EB5E2F" w:rsidP="00D42C1A">
      <w:pPr>
        <w:numPr>
          <w:ilvl w:val="0"/>
          <w:numId w:val="18"/>
        </w:numPr>
        <w:spacing w:after="0" w:line="360" w:lineRule="auto"/>
        <w:ind w:left="360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bCs/>
          <w:iCs/>
          <w:sz w:val="20"/>
          <w:szCs w:val="20"/>
        </w:rPr>
        <w:t xml:space="preserve">Czy Zamawiający doda w treści umowy postanowienie, iż własność towaru przechodzi na Zamawiającego z momentem pobrania towaru z depozytu i jego zaimplantowania </w:t>
      </w:r>
      <w:r w:rsidRPr="00EB5E2F">
        <w:rPr>
          <w:rFonts w:ascii="Tahoma" w:hAnsi="Tahoma" w:cs="Tahoma"/>
          <w:b/>
          <w:sz w:val="20"/>
          <w:szCs w:val="20"/>
        </w:rPr>
        <w:t>– dot. produktów oddanych w depozyt</w:t>
      </w:r>
      <w:r w:rsidRPr="00EB5E2F">
        <w:rPr>
          <w:rFonts w:ascii="Tahoma" w:hAnsi="Tahoma" w:cs="Tahoma"/>
          <w:b/>
          <w:bCs/>
          <w:iCs/>
          <w:sz w:val="20"/>
          <w:szCs w:val="20"/>
        </w:rPr>
        <w:t>?</w:t>
      </w:r>
    </w:p>
    <w:p w:rsidR="00EB5E2F" w:rsidRDefault="00EB5E2F" w:rsidP="00EB5E2F">
      <w:pPr>
        <w:spacing w:line="360" w:lineRule="auto"/>
        <w:ind w:left="360"/>
        <w:jc w:val="both"/>
        <w:rPr>
          <w:rFonts w:ascii="Tahoma" w:hAnsi="Tahoma" w:cs="Tahoma"/>
          <w:bCs/>
          <w:iCs/>
          <w:sz w:val="20"/>
          <w:szCs w:val="20"/>
        </w:rPr>
      </w:pPr>
      <w:r w:rsidRPr="00EB5E2F">
        <w:rPr>
          <w:rFonts w:ascii="Tahoma" w:hAnsi="Tahoma" w:cs="Tahoma"/>
          <w:bCs/>
          <w:iCs/>
          <w:sz w:val="20"/>
          <w:szCs w:val="20"/>
        </w:rPr>
        <w:t>Obecny zapis pozwala dookreślić przejście własności nad towarem.</w:t>
      </w:r>
    </w:p>
    <w:p w:rsidR="00883DC2" w:rsidRPr="00883DC2" w:rsidRDefault="00883DC2" w:rsidP="00EB5E2F">
      <w:pPr>
        <w:spacing w:line="360" w:lineRule="auto"/>
        <w:ind w:left="360"/>
        <w:jc w:val="both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Zamawiający wyraża zgodę.</w:t>
      </w:r>
    </w:p>
    <w:p w:rsidR="00EB5E2F" w:rsidRPr="00EB5E2F" w:rsidRDefault="00EB5E2F" w:rsidP="00D42C1A">
      <w:pPr>
        <w:numPr>
          <w:ilvl w:val="0"/>
          <w:numId w:val="18"/>
        </w:numPr>
        <w:spacing w:after="0" w:line="360" w:lineRule="auto"/>
        <w:ind w:left="360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bCs/>
          <w:iCs/>
          <w:sz w:val="20"/>
          <w:szCs w:val="20"/>
        </w:rPr>
        <w:t>Czy Zamawiający odstąpi od wymogu umieszczania daty ważności na opakowaniu o ile przepisy nie nakazują umieszczania takich informacji (§4 ust.1) w przypadku asortymentu niesterylnego?</w:t>
      </w:r>
    </w:p>
    <w:p w:rsidR="00EB5E2F" w:rsidRDefault="00EB5E2F" w:rsidP="00EB5E2F">
      <w:pPr>
        <w:spacing w:line="360" w:lineRule="auto"/>
        <w:ind w:left="360"/>
        <w:jc w:val="both"/>
        <w:rPr>
          <w:rFonts w:ascii="Tahoma" w:hAnsi="Tahoma" w:cs="Tahoma"/>
          <w:bCs/>
          <w:iCs/>
          <w:sz w:val="20"/>
          <w:szCs w:val="20"/>
        </w:rPr>
      </w:pPr>
      <w:r w:rsidRPr="00EB5E2F">
        <w:rPr>
          <w:rFonts w:ascii="Tahoma" w:hAnsi="Tahoma" w:cs="Tahoma"/>
          <w:bCs/>
          <w:iCs/>
          <w:sz w:val="20"/>
          <w:szCs w:val="20"/>
        </w:rPr>
        <w:t>Przepisy określają kiedy i gdzie ma być umieszczona data ważności. W przypadku niektórych wyrobów medycznych tj. wyroby niesterylne przepisy nie nakazują określania daty ważności, a co za tym idzie nie ma potrzeby dodatkowego umieszczania takich  informacji na opakowaniach.</w:t>
      </w:r>
    </w:p>
    <w:p w:rsidR="00883DC2" w:rsidRPr="00883DC2" w:rsidRDefault="00883DC2" w:rsidP="00EB5E2F">
      <w:pPr>
        <w:spacing w:line="360" w:lineRule="auto"/>
        <w:ind w:left="360"/>
        <w:jc w:val="both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Zamawiający wyraża zgodę.</w:t>
      </w:r>
    </w:p>
    <w:p w:rsidR="00EB5E2F" w:rsidRPr="00EB5E2F" w:rsidRDefault="00EB5E2F" w:rsidP="00D42C1A">
      <w:pPr>
        <w:numPr>
          <w:ilvl w:val="0"/>
          <w:numId w:val="18"/>
        </w:numPr>
        <w:spacing w:after="0" w:line="360" w:lineRule="auto"/>
        <w:ind w:left="360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lastRenderedPageBreak/>
        <w:t>Czy Zamawiający zmieni termin określony w §3 ust. 2 oraz w Sekcji II.4) pkt. 6 SIWZ oraz w §4 ust. 3  z „48 godzin” na „2 dni robocze”?</w:t>
      </w:r>
    </w:p>
    <w:p w:rsidR="00EB5E2F" w:rsidRDefault="00EB5E2F" w:rsidP="00EB5E2F">
      <w:pPr>
        <w:tabs>
          <w:tab w:val="num" w:pos="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>Z uwagi na odległość pomiędzy siedzibą Wykonawcy a Zamawiającego termin dostawy wyznaczony w godzinach jest dla Wykonawcy niekorzystny, ponieważ w sytuacji gdy zgłoszenie wpłynie w piątek pod koniec dnia pracy  Wykonawca nie będzie w stanie zrealizować zgłoszenia na czas.</w:t>
      </w:r>
    </w:p>
    <w:p w:rsidR="00883DC2" w:rsidRPr="00883DC2" w:rsidRDefault="00883DC2" w:rsidP="00EB5E2F">
      <w:pPr>
        <w:tabs>
          <w:tab w:val="num" w:pos="0"/>
        </w:tabs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EB5E2F" w:rsidRPr="00EB5E2F" w:rsidRDefault="00EB5E2F" w:rsidP="00D42C1A">
      <w:pPr>
        <w:numPr>
          <w:ilvl w:val="0"/>
          <w:numId w:val="18"/>
        </w:numPr>
        <w:spacing w:after="0" w:line="360" w:lineRule="auto"/>
        <w:ind w:left="360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Czy Zamawiający dookreśli w §4 ust. 3, iż termin załatwienia reklamacji będzie liczony od dnia przesłania pisma reklamacyjnego wraz z reklamowanym towarem?</w:t>
      </w:r>
    </w:p>
    <w:p w:rsidR="00EB5E2F" w:rsidRDefault="00EB5E2F" w:rsidP="00EB5E2F">
      <w:pPr>
        <w:tabs>
          <w:tab w:val="num" w:pos="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>Reklamowany towar powinien zostać przesłany Wykonawcy w celu ustosunkowania się Wykonawcy do złożonej reklamacji. Proponowany przez Państwa zapis nakłada na Wykonawcę obowiązek wymiany towaru jedynie w oparciu o przesłane zgłoszenie bez możliwości ustosunkowania się do niego.</w:t>
      </w:r>
    </w:p>
    <w:p w:rsidR="00883DC2" w:rsidRPr="00883DC2" w:rsidRDefault="00883DC2" w:rsidP="00EB5E2F">
      <w:pPr>
        <w:tabs>
          <w:tab w:val="num" w:pos="0"/>
        </w:tabs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EB5E2F" w:rsidRPr="00EB5E2F" w:rsidRDefault="00EB5E2F" w:rsidP="00D42C1A">
      <w:pPr>
        <w:numPr>
          <w:ilvl w:val="0"/>
          <w:numId w:val="18"/>
        </w:numPr>
        <w:spacing w:after="0" w:line="360" w:lineRule="auto"/>
        <w:ind w:left="360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Czy Zamawiający zmieni wysokość kar umownych określonych w §7:</w:t>
      </w:r>
    </w:p>
    <w:p w:rsidR="00EB5E2F" w:rsidRPr="00EB5E2F" w:rsidRDefault="00EB5E2F" w:rsidP="00D42C1A">
      <w:pPr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Ust. 4 z 1% na 0,2% wartości niedostarczonego w terminie towaru,</w:t>
      </w:r>
    </w:p>
    <w:p w:rsidR="00EB5E2F" w:rsidRPr="00EB5E2F" w:rsidRDefault="00EB5E2F" w:rsidP="00D42C1A">
      <w:pPr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EB5E2F">
        <w:rPr>
          <w:rFonts w:ascii="Tahoma" w:hAnsi="Tahoma" w:cs="Tahoma"/>
          <w:b/>
          <w:sz w:val="20"/>
          <w:szCs w:val="20"/>
        </w:rPr>
        <w:t>Ust. 5 z 1% na 0,2% wartości reklamowanego towaru?</w:t>
      </w:r>
    </w:p>
    <w:p w:rsidR="00EB5E2F" w:rsidRPr="00EB5E2F" w:rsidRDefault="00EB5E2F" w:rsidP="00EB5E2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 xml:space="preserve">Przedstawione we wzorze umowy kary umowne nakładają na Wykonawcę obowiązek zapłaty zbyt wygórowanej kary umownej. </w:t>
      </w:r>
    </w:p>
    <w:p w:rsidR="00EB5E2F" w:rsidRPr="00EB5E2F" w:rsidRDefault="00EB5E2F" w:rsidP="00EB5E2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>Mając na uwadze przepis zawarty w projekcie umowy w sprawie zamówienia publicznego stanowiącym Załącznik do SIWZ zwracamy się o zmianę wysokości zastrzeżonych kar umownych.</w:t>
      </w:r>
    </w:p>
    <w:p w:rsidR="00EB5E2F" w:rsidRPr="00EB5E2F" w:rsidRDefault="00EB5E2F" w:rsidP="00EB5E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>W rozumieniu art. 484 §1 k.c. (vide: wyrok SN z 20 maja 1980 r., sygn. akt I CR 229/80, OSNC 1980/12/243). Należy pamiętać, iż zastrzeżenie kary umownej podlega kontroli ze względu na ogólne zasady dotyczące treści czynności prawnych (art.58k.c.), jak i zakresu swobody stron w zakresie kształtowania stosunku prawnego (art. 353</w:t>
      </w:r>
      <w:r w:rsidRPr="00EB5E2F">
        <w:rPr>
          <w:rFonts w:ascii="Tahoma" w:hAnsi="Tahoma" w:cs="Tahoma"/>
          <w:sz w:val="20"/>
          <w:szCs w:val="20"/>
          <w:vertAlign w:val="superscript"/>
        </w:rPr>
        <w:t>1</w:t>
      </w:r>
      <w:r w:rsidRPr="00EB5E2F">
        <w:rPr>
          <w:rFonts w:ascii="Tahoma" w:hAnsi="Tahoma" w:cs="Tahoma"/>
          <w:sz w:val="20"/>
          <w:szCs w:val="20"/>
        </w:rPr>
        <w:t xml:space="preserve"> k.c.). W konkretnych okolicznościach żądanie kary umownej może zostać uznane za sprzeczne z tymi zasadami.</w:t>
      </w:r>
    </w:p>
    <w:p w:rsidR="00EB5E2F" w:rsidRDefault="00EB5E2F" w:rsidP="00EB5E2F">
      <w:pPr>
        <w:tabs>
          <w:tab w:val="num" w:pos="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B5E2F">
        <w:rPr>
          <w:rFonts w:ascii="Tahoma" w:hAnsi="Tahoma" w:cs="Tahoma"/>
          <w:sz w:val="20"/>
          <w:szCs w:val="20"/>
        </w:rPr>
        <w:t>Biorąc pod uwagę powyższe zmiana kar umownych jest w pełni uzasadniona.</w:t>
      </w:r>
    </w:p>
    <w:p w:rsidR="00883DC2" w:rsidRDefault="00883DC2" w:rsidP="00EB5E2F">
      <w:pPr>
        <w:tabs>
          <w:tab w:val="num" w:pos="0"/>
        </w:tabs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D42C1A" w:rsidRPr="00883DC2" w:rsidRDefault="00D42C1A" w:rsidP="00EB5E2F">
      <w:pPr>
        <w:tabs>
          <w:tab w:val="num" w:pos="0"/>
        </w:tabs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883DC2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2 poz. 1 </w:t>
      </w:r>
      <w:r w:rsidRPr="004B1675">
        <w:rPr>
          <w:rFonts w:ascii="Tahoma" w:hAnsi="Tahoma" w:cs="Tahoma"/>
          <w:iCs/>
          <w:sz w:val="20"/>
          <w:szCs w:val="20"/>
        </w:rPr>
        <w:t xml:space="preserve">dopuści możliwość zaoferowania gwoździa gamma rekonstrukcyjnego śródszpikowego do złamań przezkrętarzowych, blokowanego w rozmiarze 180 oraz od 280 do 440 mm o kątach 125, 130, 135 stopni. Gwóźdź o grubości 16 mm. Gwóźdź blokowany śrubą 11 mm do szyjki o długości 70 do 120 mm z przeskokiem co 5 mm. Jedną śrubę blokującą do części dystalnej o długości 26-80 mm z przeskokiem co 2 mm. </w:t>
      </w:r>
      <w:r w:rsidRPr="004B1675">
        <w:rPr>
          <w:rFonts w:ascii="Tahoma" w:hAnsi="Tahoma" w:cs="Tahoma"/>
          <w:iCs/>
          <w:sz w:val="20"/>
          <w:szCs w:val="20"/>
        </w:rPr>
        <w:lastRenderedPageBreak/>
        <w:t>System wykonany z tytanu. Komplet (gwóźdź, śruba główna, śruba dystalna, zaślepka, śruba kompresyjna), tytan?</w:t>
      </w: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iCs/>
          <w:sz w:val="20"/>
          <w:szCs w:val="20"/>
        </w:rPr>
      </w:pP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Zamawiający wyraża zgodę.</w:t>
      </w:r>
    </w:p>
    <w:p w:rsidR="00883DC2" w:rsidRP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883DC2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4 poz. 1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 płyty ukształtowanej anatomicznie do bliższej nasady kości piszczelowej, bocznej. Płyta lewa/prawa o długości: 81, 107, 133, 159, 185, 211, 237mm. Otwory gwintowane blokująco-kompresyjne pod śruby gwintowane 3,5 mm oraz korowe 3,5mm. Materiał stal?</w:t>
      </w: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iCs/>
          <w:sz w:val="20"/>
          <w:szCs w:val="20"/>
        </w:rPr>
      </w:pP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Zamawiający nie wyraża zgody.</w:t>
      </w:r>
    </w:p>
    <w:p w:rsidR="00883DC2" w:rsidRP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883DC2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4 poz. 2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 śruby blokującej 3,5 stal zamiast 4,0?</w:t>
      </w: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iCs/>
          <w:sz w:val="20"/>
          <w:szCs w:val="20"/>
        </w:rPr>
      </w:pP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Zamawiający wyraża zgodę.</w:t>
      </w:r>
    </w:p>
    <w:p w:rsidR="00883DC2" w:rsidRP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883DC2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4 poz. 3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 śruby korowej 3,5mm, materiał stal?</w:t>
      </w: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iCs/>
          <w:sz w:val="20"/>
          <w:szCs w:val="20"/>
        </w:rPr>
      </w:pP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Zamawiający wyraża zgodę.</w:t>
      </w:r>
    </w:p>
    <w:p w:rsidR="00883DC2" w:rsidRP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883DC2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4 poz. 5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zaoferowaniazaślepki blokowanej gwintowanej do otworu płytki, grubość 3,0 mm zamiast 4,0mm, stal?</w:t>
      </w: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iCs/>
          <w:sz w:val="20"/>
          <w:szCs w:val="20"/>
        </w:rPr>
      </w:pP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Zamawiający wyraża zgodę.</w:t>
      </w:r>
    </w:p>
    <w:p w:rsidR="00883DC2" w:rsidRP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4B1675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10 poz. 1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zaoferowania:</w:t>
      </w:r>
    </w:p>
    <w:p w:rsidR="004B1675" w:rsidRDefault="004B1675" w:rsidP="004B1675">
      <w:pPr>
        <w:pStyle w:val="Tekstblokowy"/>
        <w:spacing w:line="360" w:lineRule="auto"/>
        <w:ind w:left="360"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sz w:val="20"/>
          <w:szCs w:val="20"/>
        </w:rPr>
        <w:t xml:space="preserve">Uniwersalny gwóźdź przeznaczony do leczenia złamań kości udowej (używany przy metodzie kompresyjnej, rekonstrukcyjnej oraz wstecznej) wprowadzany metodą  ante i retrograde, średnica 9‎÷12 mm ze skokiem (co </w:t>
      </w:r>
      <w:smartTag w:uri="urn:schemas-microsoft-com:office:smarttags" w:element="metricconverter">
        <w:smartTagPr>
          <w:attr w:name="ProductID" w:val="1 mm"/>
        </w:smartTagPr>
        <w:r w:rsidRPr="004B1675">
          <w:rPr>
            <w:rFonts w:ascii="Tahoma" w:hAnsi="Tahoma" w:cs="Tahoma"/>
            <w:sz w:val="20"/>
            <w:szCs w:val="20"/>
          </w:rPr>
          <w:t>1 mm</w:t>
        </w:r>
      </w:smartTag>
      <w:r w:rsidRPr="004B1675">
        <w:rPr>
          <w:rFonts w:ascii="Tahoma" w:hAnsi="Tahoma" w:cs="Tahoma"/>
          <w:sz w:val="20"/>
          <w:szCs w:val="20"/>
        </w:rPr>
        <w:t>), lewy i prawy . W części dalszej posiadający min. 3 otwory w co najmniej 2 płaszczyznach ( w tym co najmniej 1 dynamiczny). W części bliższej posiadający min. 6 otworów w tym.: 2 rekonstrukcyjne , 2 do blokowania wstecznego i 2 do blokowania statycznego i kompresyjnego. Przy metodzie rekonstrukcyjnej blokowany w części bliższej 2 wkrętami samogwintującymi o średnicy Ø 6,5. Przy metodzie kompresyjnej blokowany w części bliższej w zależności od typu złamania wkrętami o średnicy Ø 4,5 oraz dodatkowo wkrętami o średnicy Ø 6,5. Przy metodzie wstecznej blokowany w części bliższej w zależności od typu złamania 2 wkrętami lub zestawem blokującym o średnicy Ø 6,5. W części dalszej blokowany wkrętami o średnicy Ø 4,5?</w:t>
      </w:r>
    </w:p>
    <w:p w:rsidR="00883DC2" w:rsidRDefault="00883DC2" w:rsidP="00883DC2">
      <w:pPr>
        <w:pStyle w:val="Tekstblokowy"/>
        <w:spacing w:line="360" w:lineRule="auto"/>
        <w:ind w:left="0" w:right="-2"/>
        <w:jc w:val="both"/>
        <w:rPr>
          <w:rFonts w:ascii="Tahoma" w:hAnsi="Tahoma" w:cs="Tahoma"/>
          <w:sz w:val="20"/>
          <w:szCs w:val="20"/>
        </w:rPr>
      </w:pPr>
    </w:p>
    <w:p w:rsidR="00883DC2" w:rsidRDefault="00883DC2" w:rsidP="00883DC2">
      <w:pPr>
        <w:pStyle w:val="Tekstblokowy"/>
        <w:spacing w:line="360" w:lineRule="auto"/>
        <w:ind w:left="0" w:right="-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883DC2" w:rsidRPr="00883DC2" w:rsidRDefault="00883DC2" w:rsidP="00883DC2">
      <w:pPr>
        <w:pStyle w:val="Tekstblokowy"/>
        <w:spacing w:line="360" w:lineRule="auto"/>
        <w:ind w:left="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4B1675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11 poz. 1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zaoferowania:</w:t>
      </w:r>
    </w:p>
    <w:p w:rsidR="004B1675" w:rsidRPr="004B1675" w:rsidRDefault="004B1675" w:rsidP="004B1675">
      <w:pPr>
        <w:pStyle w:val="xl31"/>
        <w:pBdr>
          <w:left w:val="none" w:sz="0" w:space="0" w:color="auto"/>
        </w:pBdr>
        <w:spacing w:before="0" w:after="0" w:line="360" w:lineRule="auto"/>
        <w:ind w:left="360"/>
        <w:jc w:val="both"/>
        <w:rPr>
          <w:rFonts w:ascii="Tahoma" w:hAnsi="Tahoma" w:cs="Tahoma"/>
          <w:b w:val="0"/>
          <w:sz w:val="20"/>
          <w:szCs w:val="20"/>
        </w:rPr>
      </w:pPr>
      <w:r w:rsidRPr="004B1675">
        <w:rPr>
          <w:rFonts w:ascii="Tahoma" w:hAnsi="Tahoma" w:cs="Tahoma"/>
          <w:b w:val="0"/>
          <w:sz w:val="20"/>
          <w:szCs w:val="20"/>
        </w:rPr>
        <w:t xml:space="preserve">Gwóźdź śródszpikowy blokowany do kości piszczelowej rekonstrukcyjny – wielopłaszczyznowy, blokowany wkrętami Ø 4,5mm i Ø </w:t>
      </w:r>
      <w:smartTag w:uri="urn:schemas-microsoft-com:office:smarttags" w:element="metricconverter">
        <w:smartTagPr>
          <w:attr w:name="ProductID" w:val="5 mm"/>
        </w:smartTagPr>
        <w:r w:rsidRPr="004B1675">
          <w:rPr>
            <w:rFonts w:ascii="Tahoma" w:hAnsi="Tahoma" w:cs="Tahoma"/>
            <w:b w:val="0"/>
            <w:sz w:val="20"/>
            <w:szCs w:val="20"/>
          </w:rPr>
          <w:t>5 mm</w:t>
        </w:r>
      </w:smartTag>
      <w:r w:rsidRPr="004B1675">
        <w:rPr>
          <w:rFonts w:ascii="Tahoma" w:hAnsi="Tahoma" w:cs="Tahoma"/>
          <w:b w:val="0"/>
          <w:sz w:val="20"/>
          <w:szCs w:val="20"/>
        </w:rPr>
        <w:t xml:space="preserve">, uniwersalny do prawej i lewej kończyny, w części bliższej posiadający cztery otwory blokowane w trzech płaszczyznach (w tym dwa otwory gwintowane), kąt wygięcia gwoździa 10 stopni w części proksymalnej i 4 stopnie w części dystalnej, długość w części proksymalnej (do zgięcia) do </w:t>
      </w:r>
      <w:smartTag w:uri="urn:schemas-microsoft-com:office:smarttags" w:element="metricconverter">
        <w:smartTagPr>
          <w:attr w:name="ProductID" w:val="55 mm"/>
        </w:smartTagPr>
        <w:r w:rsidRPr="004B1675">
          <w:rPr>
            <w:rFonts w:ascii="Tahoma" w:hAnsi="Tahoma" w:cs="Tahoma"/>
            <w:b w:val="0"/>
            <w:sz w:val="20"/>
            <w:szCs w:val="20"/>
          </w:rPr>
          <w:t>55 mm</w:t>
        </w:r>
      </w:smartTag>
      <w:r w:rsidRPr="004B1675">
        <w:rPr>
          <w:rFonts w:ascii="Tahoma" w:hAnsi="Tahoma" w:cs="Tahoma"/>
          <w:b w:val="0"/>
          <w:sz w:val="20"/>
          <w:szCs w:val="20"/>
        </w:rPr>
        <w:t>, blokowanie części bliższej z jednego celownika, w składzie:</w:t>
      </w:r>
    </w:p>
    <w:p w:rsidR="004B1675" w:rsidRPr="004B1675" w:rsidRDefault="004B1675" w:rsidP="004B1675">
      <w:pPr>
        <w:pStyle w:val="xl31"/>
        <w:pBdr>
          <w:left w:val="none" w:sz="0" w:space="0" w:color="auto"/>
        </w:pBdr>
        <w:spacing w:before="0" w:after="0" w:line="360" w:lineRule="auto"/>
        <w:jc w:val="both"/>
        <w:rPr>
          <w:rFonts w:ascii="Tahoma" w:hAnsi="Tahoma" w:cs="Tahoma"/>
          <w:b w:val="0"/>
          <w:sz w:val="20"/>
          <w:szCs w:val="20"/>
        </w:rPr>
      </w:pPr>
      <w:r w:rsidRPr="004B1675">
        <w:rPr>
          <w:rFonts w:ascii="Tahoma" w:hAnsi="Tahoma" w:cs="Tahoma"/>
          <w:b w:val="0"/>
          <w:sz w:val="20"/>
          <w:szCs w:val="20"/>
        </w:rPr>
        <w:t>- gwóźdź śródszpikowy blokowany do kości piszczelowej rekonstrukcyjny o przekroju okrągłym z kanałkami na długości części trzonowej gwoździa zmniejszającymi ciśnienie śródszpikowe – wielopłaszczyznowy (Ø 8-</w:t>
      </w:r>
      <w:smartTag w:uri="urn:schemas-microsoft-com:office:smarttags" w:element="metricconverter">
        <w:smartTagPr>
          <w:attr w:name="ProductID" w:val="12 mm"/>
        </w:smartTagPr>
        <w:r w:rsidRPr="004B1675">
          <w:rPr>
            <w:rFonts w:ascii="Tahoma" w:hAnsi="Tahoma" w:cs="Tahoma"/>
            <w:b w:val="0"/>
            <w:sz w:val="20"/>
            <w:szCs w:val="20"/>
          </w:rPr>
          <w:t>12 mm</w:t>
        </w:r>
      </w:smartTag>
      <w:r w:rsidRPr="004B1675">
        <w:rPr>
          <w:rFonts w:ascii="Tahoma" w:hAnsi="Tahoma" w:cs="Tahoma"/>
          <w:b w:val="0"/>
          <w:sz w:val="20"/>
          <w:szCs w:val="20"/>
        </w:rPr>
        <w:t>, dł. 180-</w:t>
      </w:r>
      <w:smartTag w:uri="urn:schemas-microsoft-com:office:smarttags" w:element="metricconverter">
        <w:smartTagPr>
          <w:attr w:name="ProductID" w:val="400 mm"/>
        </w:smartTagPr>
        <w:r w:rsidRPr="004B1675">
          <w:rPr>
            <w:rFonts w:ascii="Tahoma" w:hAnsi="Tahoma" w:cs="Tahoma"/>
            <w:b w:val="0"/>
            <w:sz w:val="20"/>
            <w:szCs w:val="20"/>
          </w:rPr>
          <w:t>400 mm</w:t>
        </w:r>
      </w:smartTag>
      <w:r w:rsidRPr="004B1675">
        <w:rPr>
          <w:rFonts w:ascii="Tahoma" w:hAnsi="Tahoma" w:cs="Tahoma"/>
          <w:b w:val="0"/>
          <w:sz w:val="20"/>
          <w:szCs w:val="20"/>
        </w:rPr>
        <w:t>),</w:t>
      </w:r>
      <w:bookmarkStart w:id="0" w:name="_GoBack"/>
    </w:p>
    <w:bookmarkEnd w:id="0"/>
    <w:p w:rsidR="004B1675" w:rsidRPr="004B1675" w:rsidRDefault="004B1675" w:rsidP="004B1675">
      <w:pPr>
        <w:pStyle w:val="xl31"/>
        <w:pBdr>
          <w:left w:val="none" w:sz="0" w:space="0" w:color="auto"/>
        </w:pBdr>
        <w:spacing w:before="0" w:after="0" w:line="360" w:lineRule="auto"/>
        <w:jc w:val="both"/>
        <w:rPr>
          <w:rFonts w:ascii="Tahoma" w:eastAsia="Times New Roman" w:hAnsi="Tahoma" w:cs="Tahoma"/>
          <w:b w:val="0"/>
          <w:sz w:val="20"/>
          <w:szCs w:val="20"/>
        </w:rPr>
      </w:pPr>
      <w:r w:rsidRPr="004B1675">
        <w:rPr>
          <w:rFonts w:ascii="Tahoma" w:eastAsia="Times New Roman" w:hAnsi="Tahoma" w:cs="Tahoma"/>
          <w:b w:val="0"/>
          <w:sz w:val="20"/>
          <w:szCs w:val="20"/>
        </w:rPr>
        <w:t>- śruba zaślepiająca,</w:t>
      </w:r>
    </w:p>
    <w:p w:rsidR="004B1675" w:rsidRDefault="004B1675" w:rsidP="004B1675">
      <w:pPr>
        <w:pStyle w:val="Tekstblokowy"/>
        <w:spacing w:line="360" w:lineRule="auto"/>
        <w:ind w:left="0"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sz w:val="20"/>
          <w:szCs w:val="20"/>
        </w:rPr>
        <w:t>- śruba kompensacyjna?</w:t>
      </w:r>
    </w:p>
    <w:p w:rsidR="00883DC2" w:rsidRDefault="00883DC2" w:rsidP="004B1675">
      <w:pPr>
        <w:pStyle w:val="Tekstblokowy"/>
        <w:spacing w:line="360" w:lineRule="auto"/>
        <w:ind w:left="0" w:right="-2"/>
        <w:jc w:val="both"/>
        <w:rPr>
          <w:rFonts w:ascii="Tahoma" w:hAnsi="Tahoma" w:cs="Tahoma"/>
          <w:sz w:val="20"/>
          <w:szCs w:val="20"/>
        </w:rPr>
      </w:pPr>
    </w:p>
    <w:p w:rsidR="00883DC2" w:rsidRDefault="00883DC2" w:rsidP="004B1675">
      <w:pPr>
        <w:pStyle w:val="Tekstblokowy"/>
        <w:spacing w:line="360" w:lineRule="auto"/>
        <w:ind w:left="0" w:right="-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Zamawiający wyraża zgodę.</w:t>
      </w:r>
    </w:p>
    <w:p w:rsidR="00883DC2" w:rsidRPr="00883DC2" w:rsidRDefault="00883DC2" w:rsidP="004B1675">
      <w:pPr>
        <w:pStyle w:val="Tekstblokowy"/>
        <w:spacing w:line="360" w:lineRule="auto"/>
        <w:ind w:left="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883DC2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11 poz. 2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 śruby blokującej 4,5mm?</w:t>
      </w: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iCs/>
          <w:sz w:val="20"/>
          <w:szCs w:val="20"/>
        </w:rPr>
      </w:pP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Zamawiający wyraża zgodę.</w:t>
      </w:r>
    </w:p>
    <w:p w:rsidR="00883DC2" w:rsidRP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883DC2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11 poz. 6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zaoferowaniawkrętu blokującego samogwintującego Ø 5,0mm zamiast śruby kondylarnej?</w:t>
      </w: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iCs/>
          <w:sz w:val="20"/>
          <w:szCs w:val="20"/>
        </w:rPr>
      </w:pPr>
    </w:p>
    <w:p w:rsid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Zamawiający wyraża zgodę.</w:t>
      </w:r>
    </w:p>
    <w:p w:rsidR="00883DC2" w:rsidRPr="00883DC2" w:rsidRDefault="00883DC2" w:rsidP="00883DC2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sz w:val="20"/>
          <w:szCs w:val="20"/>
        </w:rPr>
      </w:pPr>
    </w:p>
    <w:p w:rsidR="004B1675" w:rsidRPr="00D42C1A" w:rsidRDefault="004B1675" w:rsidP="00D42C1A">
      <w:pPr>
        <w:pStyle w:val="Tekstblokowy"/>
        <w:numPr>
          <w:ilvl w:val="0"/>
          <w:numId w:val="18"/>
        </w:num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iCs/>
          <w:sz w:val="20"/>
          <w:szCs w:val="20"/>
        </w:rPr>
        <w:t xml:space="preserve">Czy Zamawiający w </w:t>
      </w:r>
      <w:r w:rsidRPr="004B1675">
        <w:rPr>
          <w:rFonts w:ascii="Tahoma" w:hAnsi="Tahoma" w:cs="Tahoma"/>
          <w:b/>
          <w:iCs/>
          <w:sz w:val="20"/>
          <w:szCs w:val="20"/>
        </w:rPr>
        <w:t xml:space="preserve">Pakiecie nr 11 </w:t>
      </w:r>
      <w:r w:rsidRPr="004B1675">
        <w:rPr>
          <w:rFonts w:ascii="Tahoma" w:hAnsi="Tahoma" w:cs="Tahoma"/>
          <w:iCs/>
          <w:sz w:val="20"/>
          <w:szCs w:val="20"/>
        </w:rPr>
        <w:t>dopuści możliwość zaoferowania gwoździa bez nakrętki do śruby kondylarnej (pozycja 7)?</w:t>
      </w:r>
    </w:p>
    <w:p w:rsidR="00D42C1A" w:rsidRDefault="00D42C1A" w:rsidP="00D42C1A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iCs/>
          <w:sz w:val="20"/>
          <w:szCs w:val="20"/>
        </w:rPr>
      </w:pPr>
    </w:p>
    <w:p w:rsidR="00D42C1A" w:rsidRPr="00D42C1A" w:rsidRDefault="00D42C1A" w:rsidP="00D42C1A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Zamawiający wyraża zgodę.</w:t>
      </w:r>
    </w:p>
    <w:p w:rsidR="004B1675" w:rsidRPr="004B1675" w:rsidRDefault="004B1675" w:rsidP="004B1675">
      <w:pPr>
        <w:pStyle w:val="Tekstblokowy"/>
        <w:spacing w:line="360" w:lineRule="auto"/>
        <w:ind w:left="720" w:right="-2"/>
        <w:jc w:val="both"/>
        <w:rPr>
          <w:rFonts w:ascii="Tahoma" w:hAnsi="Tahoma" w:cs="Tahoma"/>
          <w:sz w:val="20"/>
          <w:szCs w:val="20"/>
        </w:rPr>
      </w:pPr>
    </w:p>
    <w:p w:rsidR="004B1675" w:rsidRDefault="0003167C" w:rsidP="00D42C1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4B1675" w:rsidRPr="0003167C">
        <w:rPr>
          <w:rFonts w:ascii="Tahoma" w:hAnsi="Tahoma" w:cs="Tahoma"/>
          <w:sz w:val="20"/>
          <w:szCs w:val="20"/>
        </w:rPr>
        <w:t>zy zapis w SIWZ sekcja pkt 4.6 należy rozumieć jako dostawę w ciągu 2 dni roboczych? W innym przypadku nie ma żadnej możliwości dostarczenia uzupełnienia w czasie 48 godzin.</w:t>
      </w:r>
    </w:p>
    <w:p w:rsidR="0003167C" w:rsidRPr="0003167C" w:rsidRDefault="0003167C" w:rsidP="0003167C">
      <w:pPr>
        <w:pStyle w:val="Akapitzlist"/>
        <w:rPr>
          <w:rFonts w:ascii="Tahoma" w:hAnsi="Tahoma" w:cs="Tahoma"/>
          <w:sz w:val="20"/>
          <w:szCs w:val="20"/>
        </w:rPr>
      </w:pPr>
    </w:p>
    <w:p w:rsidR="0003167C" w:rsidRDefault="0003167C" w:rsidP="0003167C">
      <w:pPr>
        <w:pStyle w:val="Akapitzlist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Zapis należy rozumieć jako dostawę w ciągu 2 dni roboczych.</w:t>
      </w:r>
    </w:p>
    <w:p w:rsidR="0003167C" w:rsidRPr="0003167C" w:rsidRDefault="0003167C" w:rsidP="0003167C">
      <w:pPr>
        <w:pStyle w:val="Akapitzlist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4B1675" w:rsidRDefault="00D42C1A" w:rsidP="00D42C1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</w:t>
      </w:r>
      <w:r w:rsidR="004B1675" w:rsidRPr="004B1675">
        <w:rPr>
          <w:rFonts w:ascii="Tahoma" w:hAnsi="Tahoma" w:cs="Tahoma"/>
          <w:sz w:val="20"/>
          <w:szCs w:val="20"/>
        </w:rPr>
        <w:t xml:space="preserve">zy Zamawiający zrezygnuje z zapisu w SIWZ sekcja pkt 4.13 w stosunku do pakietów 12-15. W przeciwnym razie cena zaoferowanych implantów wzrośnie w stosunku do aktualnej wyceny o koszt kompletu napędów. </w:t>
      </w:r>
    </w:p>
    <w:p w:rsidR="00D42C1A" w:rsidRDefault="00D42C1A" w:rsidP="00D42C1A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2C1A" w:rsidRDefault="00D42C1A" w:rsidP="00D42C1A">
      <w:pPr>
        <w:pStyle w:val="Akapitzlist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rezygnuje z tych zapisów.</w:t>
      </w:r>
    </w:p>
    <w:p w:rsidR="00D42C1A" w:rsidRPr="00D42C1A" w:rsidRDefault="00D42C1A" w:rsidP="00D42C1A">
      <w:pPr>
        <w:pStyle w:val="Akapitzlist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4B1675" w:rsidRDefault="004B1675" w:rsidP="00D42C1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B1675">
        <w:rPr>
          <w:rFonts w:ascii="Tahoma" w:hAnsi="Tahoma" w:cs="Tahoma"/>
          <w:sz w:val="20"/>
          <w:szCs w:val="20"/>
        </w:rPr>
        <w:t>Czy Zamawiający wprowadzi do umowy stosowne zmiany wynikające z powyższych punktów?</w:t>
      </w:r>
    </w:p>
    <w:p w:rsidR="00D42C1A" w:rsidRDefault="00D42C1A" w:rsidP="00D42C1A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2C1A" w:rsidRPr="00D42C1A" w:rsidRDefault="00D42C1A" w:rsidP="00D42C1A">
      <w:pPr>
        <w:pStyle w:val="Akapitzlist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wprowadzi zmianę wynikającą z odpowiedzi na pytanie nr 29.</w:t>
      </w:r>
    </w:p>
    <w:sectPr w:rsidR="00D42C1A" w:rsidRPr="00D42C1A" w:rsidSect="00EA4F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86" w:rsidRDefault="007D1A86" w:rsidP="00CA5EF6">
      <w:pPr>
        <w:spacing w:after="0" w:line="240" w:lineRule="auto"/>
      </w:pPr>
      <w:r>
        <w:separator/>
      </w:r>
    </w:p>
  </w:endnote>
  <w:endnote w:type="continuationSeparator" w:id="1">
    <w:p w:rsidR="007D1A86" w:rsidRDefault="007D1A86" w:rsidP="00CA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548884"/>
      <w:docPartObj>
        <w:docPartGallery w:val="Page Numbers (Bottom of Page)"/>
        <w:docPartUnique/>
      </w:docPartObj>
    </w:sdtPr>
    <w:sdtContent>
      <w:p w:rsidR="00883DC2" w:rsidRDefault="00965C7D">
        <w:pPr>
          <w:pStyle w:val="Stopka"/>
        </w:pPr>
        <w:fldSimple w:instr="PAGE   \* MERGEFORMAT">
          <w:r w:rsidR="00420C8E">
            <w:rPr>
              <w:noProof/>
            </w:rPr>
            <w:t>8</w:t>
          </w:r>
        </w:fldSimple>
      </w:p>
    </w:sdtContent>
  </w:sdt>
  <w:p w:rsidR="00883DC2" w:rsidRDefault="00883D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86" w:rsidRDefault="007D1A86" w:rsidP="00CA5EF6">
      <w:pPr>
        <w:spacing w:after="0" w:line="240" w:lineRule="auto"/>
      </w:pPr>
      <w:r>
        <w:separator/>
      </w:r>
    </w:p>
  </w:footnote>
  <w:footnote w:type="continuationSeparator" w:id="1">
    <w:p w:rsidR="007D1A86" w:rsidRDefault="007D1A86" w:rsidP="00CA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C4A29A8"/>
    <w:multiLevelType w:val="hybridMultilevel"/>
    <w:tmpl w:val="D382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40E5E"/>
    <w:multiLevelType w:val="hybridMultilevel"/>
    <w:tmpl w:val="DB8AC20C"/>
    <w:lvl w:ilvl="0" w:tplc="1632CBC6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740D5"/>
    <w:multiLevelType w:val="hybridMultilevel"/>
    <w:tmpl w:val="7A7C4EEC"/>
    <w:lvl w:ilvl="0" w:tplc="BA9CA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531085"/>
    <w:multiLevelType w:val="hybridMultilevel"/>
    <w:tmpl w:val="B3BA5C42"/>
    <w:lvl w:ilvl="0" w:tplc="0C0C77EA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A2E570A"/>
    <w:multiLevelType w:val="hybridMultilevel"/>
    <w:tmpl w:val="270406B0"/>
    <w:lvl w:ilvl="0" w:tplc="68BA4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8567DA"/>
    <w:multiLevelType w:val="hybridMultilevel"/>
    <w:tmpl w:val="B93EF6BA"/>
    <w:lvl w:ilvl="0" w:tplc="60448A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81689"/>
    <w:multiLevelType w:val="hybridMultilevel"/>
    <w:tmpl w:val="8F10ED00"/>
    <w:lvl w:ilvl="0" w:tplc="16F62B90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40E21"/>
    <w:multiLevelType w:val="hybridMultilevel"/>
    <w:tmpl w:val="89BA44F0"/>
    <w:lvl w:ilvl="0" w:tplc="00C852F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9588B"/>
    <w:multiLevelType w:val="hybridMultilevel"/>
    <w:tmpl w:val="CE728CE6"/>
    <w:lvl w:ilvl="0" w:tplc="15ACC2DA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1A86129"/>
    <w:multiLevelType w:val="hybridMultilevel"/>
    <w:tmpl w:val="52608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07AFA"/>
    <w:multiLevelType w:val="hybridMultilevel"/>
    <w:tmpl w:val="57EC6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D1EF4"/>
    <w:multiLevelType w:val="hybridMultilevel"/>
    <w:tmpl w:val="7AAEE708"/>
    <w:lvl w:ilvl="0" w:tplc="E5102A2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97684"/>
    <w:multiLevelType w:val="hybridMultilevel"/>
    <w:tmpl w:val="94FACF88"/>
    <w:lvl w:ilvl="0" w:tplc="A1F01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874303"/>
    <w:multiLevelType w:val="hybridMultilevel"/>
    <w:tmpl w:val="8562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44AF5"/>
    <w:multiLevelType w:val="hybridMultilevel"/>
    <w:tmpl w:val="4574F0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12452"/>
    <w:multiLevelType w:val="hybridMultilevel"/>
    <w:tmpl w:val="12221020"/>
    <w:lvl w:ilvl="0" w:tplc="4C247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3"/>
  </w:num>
  <w:num w:numId="12">
    <w:abstractNumId w:val="0"/>
  </w:num>
  <w:num w:numId="13">
    <w:abstractNumId w:val="6"/>
  </w:num>
  <w:num w:numId="14">
    <w:abstractNumId w:val="11"/>
  </w:num>
  <w:num w:numId="15">
    <w:abstractNumId w:val="5"/>
  </w:num>
  <w:num w:numId="16">
    <w:abstractNumId w:val="10"/>
  </w:num>
  <w:num w:numId="17">
    <w:abstractNumId w:val="1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CDD"/>
    <w:rsid w:val="0003167C"/>
    <w:rsid w:val="00046BC2"/>
    <w:rsid w:val="00082884"/>
    <w:rsid w:val="000B497B"/>
    <w:rsid w:val="0016052C"/>
    <w:rsid w:val="001B5820"/>
    <w:rsid w:val="00216124"/>
    <w:rsid w:val="003B0B18"/>
    <w:rsid w:val="003C03E8"/>
    <w:rsid w:val="00420C8E"/>
    <w:rsid w:val="004B1675"/>
    <w:rsid w:val="00575CB1"/>
    <w:rsid w:val="00586872"/>
    <w:rsid w:val="005B7CDD"/>
    <w:rsid w:val="005C4A9A"/>
    <w:rsid w:val="005F2B44"/>
    <w:rsid w:val="0078312E"/>
    <w:rsid w:val="007D1A86"/>
    <w:rsid w:val="00883DC2"/>
    <w:rsid w:val="00965C7D"/>
    <w:rsid w:val="009B04F3"/>
    <w:rsid w:val="009D586F"/>
    <w:rsid w:val="009F036B"/>
    <w:rsid w:val="00A25EF8"/>
    <w:rsid w:val="00A34B8D"/>
    <w:rsid w:val="00AA2C8C"/>
    <w:rsid w:val="00AD2883"/>
    <w:rsid w:val="00B52B65"/>
    <w:rsid w:val="00B60229"/>
    <w:rsid w:val="00B87782"/>
    <w:rsid w:val="00BC5092"/>
    <w:rsid w:val="00CA5EF6"/>
    <w:rsid w:val="00D42C1A"/>
    <w:rsid w:val="00E50740"/>
    <w:rsid w:val="00E724E9"/>
    <w:rsid w:val="00EA4FB8"/>
    <w:rsid w:val="00EB5E2F"/>
    <w:rsid w:val="00EF4B9F"/>
    <w:rsid w:val="00F1215F"/>
    <w:rsid w:val="00F42C96"/>
    <w:rsid w:val="00FD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B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78312E"/>
    <w:pPr>
      <w:overflowPunct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Akapitzlist">
    <w:name w:val="List Paragraph"/>
    <w:basedOn w:val="Normalny"/>
    <w:uiPriority w:val="34"/>
    <w:qFormat/>
    <w:rsid w:val="00E507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36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EF6"/>
  </w:style>
  <w:style w:type="paragraph" w:styleId="Stopka">
    <w:name w:val="footer"/>
    <w:basedOn w:val="Normalny"/>
    <w:link w:val="StopkaZnak"/>
    <w:uiPriority w:val="99"/>
    <w:unhideWhenUsed/>
    <w:rsid w:val="00CA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EF6"/>
  </w:style>
  <w:style w:type="paragraph" w:styleId="Tekstpodstawowywcity2">
    <w:name w:val="Body Text Indent 2"/>
    <w:basedOn w:val="Normalny"/>
    <w:link w:val="Tekstpodstawowywcity2Znak"/>
    <w:rsid w:val="00EB5E2F"/>
    <w:pPr>
      <w:overflowPunct w:val="0"/>
      <w:autoSpaceDE w:val="0"/>
      <w:autoSpaceDN w:val="0"/>
      <w:adjustRightInd w:val="0"/>
      <w:spacing w:after="120" w:line="480" w:lineRule="auto"/>
      <w:ind w:left="283" w:hanging="35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B5E2F"/>
    <w:rPr>
      <w:rFonts w:ascii="Times New Roman" w:eastAsia="Times New Roman" w:hAnsi="Times New Roman" w:cs="Times New Roman"/>
      <w:sz w:val="20"/>
      <w:szCs w:val="20"/>
    </w:rPr>
  </w:style>
  <w:style w:type="paragraph" w:styleId="Tekstblokowy">
    <w:name w:val="Block Text"/>
    <w:basedOn w:val="Normalny"/>
    <w:rsid w:val="004B1675"/>
    <w:pPr>
      <w:spacing w:after="0" w:line="240" w:lineRule="auto"/>
      <w:ind w:left="5670" w:right="708"/>
      <w:jc w:val="right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31">
    <w:name w:val="xl31"/>
    <w:basedOn w:val="Normalny"/>
    <w:rsid w:val="004B1675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1931</Words>
  <Characters>11591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18</cp:revision>
  <cp:lastPrinted>2016-11-08T08:12:00Z</cp:lastPrinted>
  <dcterms:created xsi:type="dcterms:W3CDTF">2015-07-10T08:20:00Z</dcterms:created>
  <dcterms:modified xsi:type="dcterms:W3CDTF">2016-11-08T09:43:00Z</dcterms:modified>
</cp:coreProperties>
</file>